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>
      <w:pPr>
        <w:ind w:left="5760"/>
        <w:jc w:val="both"/>
        <w:rPr>
          <w:rFonts w:ascii="Arial" w:hAnsi="Arial"/>
          <w:b/>
          <w:sz w:val="20"/>
        </w:rPr>
      </w:pPr>
    </w:p>
    <w:p>
      <w:pPr>
        <w:pStyle w:val="15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Métodos analíticos específicos para el control de calidad </w:t>
      </w:r>
      <w:r>
        <w:rPr>
          <w:rFonts w:ascii="Arial" w:hAnsi="Arial"/>
          <w:b/>
          <w:bCs/>
          <w:sz w:val="28"/>
          <w:szCs w:val="28"/>
          <w:lang w:val="es-AR"/>
        </w:rPr>
        <w:t xml:space="preserve">farmacobotánico </w:t>
      </w:r>
      <w:r>
        <w:rPr>
          <w:rFonts w:ascii="Arial" w:hAnsi="Arial"/>
          <w:b/>
          <w:bCs/>
          <w:sz w:val="28"/>
          <w:szCs w:val="28"/>
        </w:rPr>
        <w:t>de plantas medicinales</w:t>
      </w:r>
    </w:p>
    <w:p>
      <w:pPr>
        <w:pStyle w:val="15"/>
        <w:jc w:val="center"/>
        <w:rPr>
          <w:rFonts w:ascii="Arial" w:hAnsi="Arial"/>
        </w:rPr>
      </w:pPr>
    </w:p>
    <w:p>
      <w:pPr>
        <w:pStyle w:val="2"/>
      </w:pPr>
    </w:p>
    <w:p>
      <w:pPr>
        <w:pStyle w:val="27"/>
        <w:spacing w:line="240" w:lineRule="exact"/>
        <w:ind w:firstLine="280"/>
        <w:jc w:val="both"/>
        <w:rPr>
          <w:rFonts w:ascii="Arial" w:hAnsi="Arial" w:cs="Arial"/>
          <w:bCs/>
          <w:sz w:val="22"/>
          <w:szCs w:val="22"/>
          <w:lang w:val="es-ES" w:eastAsia="es-ES"/>
        </w:rPr>
      </w:pPr>
      <w:r>
        <w:rPr>
          <w:rFonts w:ascii="Arial" w:hAnsi="Arial" w:cs="Arial"/>
          <w:bCs/>
          <w:sz w:val="22"/>
          <w:szCs w:val="22"/>
          <w:lang w:val="es-ES" w:eastAsia="es-ES"/>
        </w:rPr>
        <w:t xml:space="preserve">En la actualidad las principales ﬁrmas farmacéuticas del mundo estudian, investigan y desarrollan nuevos medicamentos provenientes del reino vegetal, empleando la planta entera o sus extractos, aislando sus principios activos o a través de la hemisíntesis química tomando como punto de partida una molécula vegetal. De esta manera es que el mercado de drogas derivadas de productos naturales crece día a día. Muchas de las drogas con efectos terapéuticos más importantes provienen de la naturaleza o son sintetizadas por el hombre imitando productos naturales. </w:t>
      </w:r>
    </w:p>
    <w:p>
      <w:pPr>
        <w:pStyle w:val="21"/>
        <w:tabs>
          <w:tab w:val="left" w:pos="0"/>
        </w:tabs>
        <w:ind w:firstLine="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valor de las plantas medicinales se incrementa cada vez más, siendo reconocidas en los programas de salud, especialmente en los países en desarrollo.</w:t>
      </w:r>
    </w:p>
    <w:p>
      <w:pPr>
        <w:pStyle w:val="21"/>
        <w:tabs>
          <w:tab w:val="left" w:pos="0"/>
        </w:tabs>
        <w:ind w:firstLine="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esencial establecer pautas internacionalmente reconocidas, para asegurar la calidad de las plantas medicinales, usando técnicas modernas y aplicando métodos adecuados.</w:t>
      </w:r>
    </w:p>
    <w:p>
      <w:pPr>
        <w:pStyle w:val="21"/>
        <w:tabs>
          <w:tab w:val="left" w:pos="0"/>
        </w:tabs>
        <w:ind w:firstLine="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análisis y control de las drogas vegetales y derivados, especialmente productos extractivos, constituye uno de los pasos imprescindibles que debe efectuarse previamente a su utilización en un proceso de elaboración industrial o magistral de medicamentos.</w:t>
      </w:r>
    </w:p>
    <w:p>
      <w:pPr>
        <w:pStyle w:val="21"/>
        <w:tabs>
          <w:tab w:val="left" w:pos="0"/>
        </w:tabs>
        <w:ind w:firstLine="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 realización responde a la necesidad de </w:t>
      </w:r>
      <w:r>
        <w:rPr>
          <w:rFonts w:ascii="Arial" w:hAnsi="Arial" w:cs="Arial"/>
          <w:b/>
          <w:bCs/>
          <w:sz w:val="22"/>
          <w:szCs w:val="22"/>
        </w:rPr>
        <w:t>asegurar su identidad, de garantizar su pureza, es decir, de descubrir eventuales adulteraciones, falsificaciones o contaminaciones, de certificar su estado de conservación y de identificar y valorar su contenido en principios activos</w:t>
      </w:r>
      <w:r>
        <w:rPr>
          <w:rFonts w:ascii="Arial" w:hAnsi="Arial" w:cs="Arial"/>
          <w:bCs/>
          <w:sz w:val="22"/>
          <w:szCs w:val="22"/>
        </w:rPr>
        <w:t>, los cuales son, en definitiva, los responsables de su acción farmacológica y los que le confieren valor terapéutico.</w:t>
      </w:r>
    </w:p>
    <w:p>
      <w:pPr>
        <w:pStyle w:val="27"/>
        <w:spacing w:line="240" w:lineRule="exact"/>
        <w:ind w:firstLine="280"/>
        <w:jc w:val="both"/>
        <w:rPr>
          <w:rFonts w:ascii="Arial" w:hAnsi="Arial" w:cs="Arial"/>
          <w:bCs/>
          <w:sz w:val="22"/>
          <w:szCs w:val="22"/>
          <w:lang w:val="es-ES" w:eastAsia="es-ES"/>
        </w:rPr>
      </w:pPr>
      <w:r>
        <w:rPr>
          <w:rFonts w:ascii="Arial" w:hAnsi="Arial" w:cs="Arial"/>
          <w:bCs/>
          <w:sz w:val="22"/>
          <w:szCs w:val="22"/>
          <w:lang w:val="es-ES" w:eastAsia="es-ES"/>
        </w:rPr>
        <w:t xml:space="preserve">Las normas de calidad de las drogas se encuentran en las </w:t>
      </w:r>
      <w:r>
        <w:rPr>
          <w:rFonts w:ascii="Arial" w:hAnsi="Arial" w:cs="Arial"/>
          <w:b/>
          <w:bCs/>
          <w:sz w:val="22"/>
          <w:szCs w:val="22"/>
          <w:lang w:val="es-ES" w:eastAsia="es-ES"/>
        </w:rPr>
        <w:t>Farmacopeas</w:t>
      </w:r>
      <w:r>
        <w:rPr>
          <w:rFonts w:ascii="Arial" w:hAnsi="Arial" w:cs="Arial"/>
          <w:bCs/>
          <w:sz w:val="22"/>
          <w:szCs w:val="22"/>
          <w:lang w:val="es-ES" w:eastAsia="es-ES"/>
        </w:rPr>
        <w:t xml:space="preserve">. Actualmente las drogas vegetales ﬁguran en todas las Farmacopeas del mundo estableciendo parámetros para su identiﬁcación botánica y ﬁtoquímica, su pureza y su contenido en principios activos.  </w:t>
      </w:r>
    </w:p>
    <w:p>
      <w:pPr>
        <w:pStyle w:val="27"/>
        <w:spacing w:line="240" w:lineRule="exact"/>
        <w:ind w:firstLine="280"/>
        <w:jc w:val="both"/>
        <w:rPr>
          <w:rFonts w:ascii="Arial" w:hAnsi="Arial" w:cs="Arial"/>
          <w:bCs/>
          <w:sz w:val="22"/>
          <w:szCs w:val="22"/>
          <w:lang w:val="es-ES" w:eastAsia="es-ES"/>
        </w:rPr>
      </w:pPr>
      <w:r>
        <w:rPr>
          <w:rFonts w:ascii="Arial" w:hAnsi="Arial" w:cs="Arial"/>
          <w:bCs/>
          <w:sz w:val="22"/>
          <w:szCs w:val="22"/>
          <w:lang w:val="es-ES" w:eastAsia="es-ES"/>
        </w:rPr>
        <w:t>En la Argentina pocas de las drogas vegetales nativas cuentan con los suﬁcientes estudios botánicos y químicos para establecer parámetros para su control de calidad y poder ser incorporadas en la Farmacopea Argentina. Por este motivo, se hace necesario el estudio  botánico, ﬁtoquímico y farmacológico de manera de colaborar con la confección de normas para su control.</w:t>
      </w:r>
    </w:p>
    <w:p>
      <w:pPr>
        <w:pStyle w:val="21"/>
        <w:tabs>
          <w:tab w:val="left" w:pos="0"/>
        </w:tabs>
        <w:ind w:firstLine="540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 xml:space="preserve">Cada monografía de las plantas medicinales codificadas en la Farmacopea Nacional Argentina consta de una </w:t>
      </w:r>
      <w:r>
        <w:rPr>
          <w:rFonts w:ascii="Arial" w:hAnsi="Arial" w:cs="Arial"/>
          <w:b/>
          <w:bCs/>
          <w:sz w:val="22"/>
          <w:szCs w:val="22"/>
          <w:lang w:val="es-AR"/>
        </w:rPr>
        <w:t>definición</w:t>
      </w:r>
      <w:r>
        <w:rPr>
          <w:rFonts w:ascii="Arial" w:hAnsi="Arial" w:cs="Arial"/>
          <w:bCs/>
          <w:sz w:val="22"/>
          <w:szCs w:val="22"/>
          <w:lang w:val="es-AR"/>
        </w:rPr>
        <w:t xml:space="preserve">, en la que se incluyen el </w:t>
      </w:r>
      <w:r>
        <w:rPr>
          <w:rFonts w:ascii="Arial" w:hAnsi="Arial" w:cs="Arial"/>
          <w:b/>
          <w:bCs/>
          <w:sz w:val="22"/>
          <w:szCs w:val="22"/>
          <w:lang w:val="es-AR"/>
        </w:rPr>
        <w:t>nombre científico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de la especie que se trata, la </w:t>
      </w:r>
      <w:r>
        <w:rPr>
          <w:rFonts w:ascii="Arial" w:hAnsi="Arial" w:cs="Arial"/>
          <w:b/>
          <w:bCs/>
          <w:sz w:val="22"/>
          <w:szCs w:val="22"/>
          <w:lang w:val="es-AR"/>
        </w:rPr>
        <w:t xml:space="preserve">parte utilizada </w:t>
      </w:r>
      <w:r>
        <w:rPr>
          <w:rFonts w:ascii="Arial" w:hAnsi="Arial" w:cs="Arial"/>
          <w:bCs/>
          <w:sz w:val="22"/>
          <w:szCs w:val="22"/>
          <w:lang w:val="es-AR"/>
        </w:rPr>
        <w:t>y su estado (generalmente desecado) y algún dato cuantitativo.</w:t>
      </w:r>
    </w:p>
    <w:p>
      <w:pPr>
        <w:pStyle w:val="21"/>
        <w:tabs>
          <w:tab w:val="left" w:pos="0"/>
        </w:tabs>
        <w:ind w:firstLine="540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 xml:space="preserve">En el cuerpo de la Monografía, en los ensayos de identificación, aparecen una </w:t>
      </w:r>
      <w:r>
        <w:rPr>
          <w:rFonts w:ascii="Arial" w:hAnsi="Arial" w:cs="Arial"/>
          <w:b/>
          <w:bCs/>
          <w:sz w:val="22"/>
          <w:szCs w:val="22"/>
          <w:lang w:val="es-AR"/>
        </w:rPr>
        <w:t>descripción macroscópica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de dicha parte usada, luego una </w:t>
      </w:r>
      <w:r>
        <w:rPr>
          <w:rFonts w:ascii="Arial" w:hAnsi="Arial" w:cs="Arial"/>
          <w:b/>
          <w:bCs/>
          <w:sz w:val="22"/>
          <w:szCs w:val="22"/>
          <w:lang w:val="es-AR"/>
        </w:rPr>
        <w:t>descripción del transcorte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y de la </w:t>
      </w:r>
      <w:r>
        <w:rPr>
          <w:rFonts w:ascii="Arial" w:hAnsi="Arial" w:cs="Arial"/>
          <w:b/>
          <w:bCs/>
          <w:sz w:val="22"/>
          <w:szCs w:val="22"/>
          <w:lang w:val="es-AR"/>
        </w:rPr>
        <w:t xml:space="preserve">droga en polvo </w:t>
      </w:r>
      <w:r>
        <w:rPr>
          <w:rFonts w:ascii="Arial" w:hAnsi="Arial" w:cs="Arial"/>
          <w:bCs/>
          <w:sz w:val="22"/>
          <w:szCs w:val="22"/>
          <w:lang w:val="es-AR"/>
        </w:rPr>
        <w:t xml:space="preserve">y </w:t>
      </w:r>
      <w:r>
        <w:rPr>
          <w:rFonts w:ascii="Arial" w:hAnsi="Arial" w:cs="Arial"/>
          <w:b/>
          <w:bCs/>
          <w:sz w:val="22"/>
          <w:szCs w:val="22"/>
          <w:lang w:val="es-AR"/>
        </w:rPr>
        <w:t>técnicas cromatográficas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para la determinación cualitativa de los principios activos. 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Requisitos que deben cumplir los medicamentos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Antes de emplear una droga en terapéutica es necesario realizar ensayos que permitan su identificación, detectar posibles adulteraciones u observar su estado de conservación para que su empleo se realice con calidad y seguridad, pues de ello dependerá su eficacia. 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Calidad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el cumplimiento de las normas que aseguran que el producto es auténtico y que se encuentra libre de contaminantes (identidad y pureza).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Seguridad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refiere a la inocuidad o ausencia de toxicidad del producto a las dosis indicadas. Está  relacionada con la aparición de eventos adversos.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Eficacia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Está relacionada con la constatación de la actividad biológica esperada. Efectividad del producto para el empleo que se propone. Se refiere a la potencia y selectividad en el tratamiento de la dolencia.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Términos relacionados con la identidad y calidad de las drogas vegetales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Contaminación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la mezcla accidental de una especie vegetal con otra o con materiales ajenos a ella.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Adulteración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la mezcla dolosa de una especie vegetal con otra de menor calidad o con materiales ajenos a ella.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Sustitución  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un tipo particular de adulteración: una droga vegetal se cambia por otra especie de inferior calidad; la parte usada se cambia por otra parte de la misma planta que posee menor actividad terapéutica o carece de ella; o la especie autentica se cambia con materiales completamente ajenos a ella. Es una forma extrema de adulteración.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Contaminación</w:t>
      </w:r>
    </w:p>
    <w:p>
      <w:pPr>
        <w:pStyle w:val="21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visible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excremento de roedor o de aves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pelos (generalmente de roedor)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plumas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huevos, larvas e insectos adultos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tierra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otras especies vegetales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otros órganos de la misma planta</w:t>
      </w:r>
    </w:p>
    <w:p>
      <w:pPr>
        <w:pStyle w:val="21"/>
        <w:tabs>
          <w:tab w:val="left" w:pos="0"/>
        </w:tabs>
        <w:ind w:left="397"/>
        <w:rPr>
          <w:rFonts w:ascii="Arial" w:hAnsi="Arial" w:cs="Arial"/>
          <w:bCs/>
          <w:sz w:val="22"/>
          <w:szCs w:val="22"/>
        </w:rPr>
      </w:pPr>
    </w:p>
    <w:p>
      <w:pPr>
        <w:pStyle w:val="21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invisible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carga microbiana (bacterias y hongos)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presencia de restos de pesticidas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presencia de metales pesados (Pb, Cu, Cd, As)</w:t>
      </w:r>
    </w:p>
    <w:p>
      <w:pPr>
        <w:pStyle w:val="21"/>
        <w:numPr>
          <w:ilvl w:val="0"/>
          <w:numId w:val="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presencia de micotoxinas, especialmente aflatoxinas</w:t>
      </w: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lang w:val="pt-BR"/>
        </w:rPr>
      </w:pPr>
    </w:p>
    <w:p>
      <w:pPr>
        <w:pStyle w:val="21"/>
        <w:tabs>
          <w:tab w:val="left" w:pos="0"/>
        </w:tabs>
        <w:rPr>
          <w:rFonts w:ascii="Arial" w:hAnsi="Arial" w:cs="Arial"/>
          <w:b/>
          <w:bCs/>
          <w:sz w:val="22"/>
          <w:szCs w:val="22"/>
          <w:lang w:val="pt-BR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CONTROL DE CALIDAD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Previamente a la realización de las técnicas de control de calidad, se debe realizar el </w:t>
      </w:r>
      <w:bookmarkStart w:id="0" w:name="_GoBack"/>
      <w:r>
        <w:rPr>
          <w:rFonts w:ascii="Arial" w:hAnsi="Arial" w:cs="Arial"/>
          <w:b w:val="0"/>
          <w:bCs w:val="0"/>
          <w:sz w:val="22"/>
          <w:szCs w:val="22"/>
          <w:lang w:val="pt-BR"/>
        </w:rPr>
        <w:t>muestreo</w:t>
      </w:r>
      <w:bookmarkEnd w:id="0"/>
      <w:r>
        <w:rPr>
          <w:rFonts w:ascii="Arial" w:hAnsi="Arial" w:cs="Arial"/>
          <w:bCs/>
          <w:sz w:val="22"/>
          <w:szCs w:val="22"/>
          <w:lang w:val="pt-BR"/>
        </w:rPr>
        <w:t xml:space="preserve"> de la partida de drogas vegetales, que consiste en tomar una muestra que sea representativa del lote a analizar, manteniendo su homogeneidad, uniformidad e integridad.  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ind w:left="240" w:leftChars="0" w:hanging="240" w:hangingChars="1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Análisis fitosanitario</w:t>
      </w:r>
      <w:r>
        <w:rPr>
          <w:rFonts w:ascii="Arial" w:hAnsi="Arial" w:cs="Arial"/>
          <w:bCs/>
          <w:sz w:val="22"/>
          <w:szCs w:val="22"/>
        </w:rPr>
        <w:t>. Para detectar la contaminación visible e invisible. Ensayos microbiológicos, para determinar toxicidad, etc.</w:t>
      </w:r>
    </w:p>
    <w:p>
      <w:pPr>
        <w:pStyle w:val="21"/>
        <w:tabs>
          <w:tab w:val="left" w:pos="0"/>
        </w:tabs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</w:rPr>
        <w:t>2. Análisis farmacobotánico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  <w:lang w:val="es-AR"/>
        </w:rPr>
        <w:t>Para identificar la droga, descartar adulteraciones o falsificaciones.</w:t>
      </w:r>
    </w:p>
    <w:p>
      <w:pPr>
        <w:pStyle w:val="21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</w:rPr>
        <w:t>3. Analisis fitoquímico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  <w:lang w:val="es-AR"/>
        </w:rPr>
        <w:t>Para comprobar la presencia de determinados principios activos y/o sustancias de caracterización y proceder a su valoración.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sz w:val="22"/>
          <w:u w:val="single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</w:t>
      </w:r>
      <w:r>
        <w:rPr>
          <w:rFonts w:hint="default" w:ascii="Arial" w:hAnsi="Arial" w:cs="Arial"/>
          <w:b/>
          <w:sz w:val="22"/>
          <w:lang w:val="es-AR"/>
        </w:rPr>
        <w:t>Á</w:t>
      </w:r>
      <w:r>
        <w:rPr>
          <w:rFonts w:ascii="Arial" w:hAnsi="Arial" w:cs="Arial"/>
          <w:b/>
          <w:sz w:val="22"/>
        </w:rPr>
        <w:t>LISIS FARMACOBOT</w:t>
      </w:r>
      <w:r>
        <w:rPr>
          <w:rFonts w:hint="default" w:ascii="Arial" w:hAnsi="Arial" w:cs="Arial"/>
          <w:b/>
          <w:sz w:val="22"/>
          <w:lang w:val="es-AR"/>
        </w:rPr>
        <w:t>Á</w:t>
      </w:r>
      <w:r>
        <w:rPr>
          <w:rFonts w:ascii="Arial" w:hAnsi="Arial" w:cs="Arial"/>
          <w:b/>
          <w:sz w:val="22"/>
        </w:rPr>
        <w:t>NICO</w:t>
      </w: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Los materiales vegetales se describen de acuerdo a sus características organolépticas, macroscópicas y microscópicas, las que constituyen el primer paso para establecer la identidad y el grado de pureza de tales materiales, y deben ser llevados a cabo antes de cualquier otro ensayo.</w:t>
      </w: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 descripción botánica constituye el método de identificación primario tanto para las drogas crudas como para las plantas para tisanas y las drogas pulverizadas, lo que es tomado en cuenta por las farmacopeas de estándares de calidad al menos en caso de drogas vegetales organizadas.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Análisis macroscópico</w:t>
      </w: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 xml:space="preserve">Inspección visual o por medio de una lupa, de las características morfológicas (forma simple y rápida, a través de la cual, se puede establecer en lo posible, la identidad, pureza y calidad de la droga cruda). 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</w:p>
    <w:p>
      <w:pPr>
        <w:pStyle w:val="21"/>
        <w:numPr>
          <w:ilvl w:val="0"/>
          <w:numId w:val="3"/>
        </w:numPr>
        <w:tabs>
          <w:tab w:val="left" w:pos="0"/>
        </w:tabs>
        <w:ind w:hanging="11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Descripción macroscópica</w:t>
      </w:r>
    </w:p>
    <w:p>
      <w:pPr>
        <w:pStyle w:val="21"/>
        <w:tabs>
          <w:tab w:val="left" w:pos="0"/>
        </w:tabs>
        <w:ind w:left="397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>La valoración macroscópica del material vegetal se basa en: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Forma de presentación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Dimensiones</w:t>
      </w:r>
    </w:p>
    <w:p>
      <w:pPr>
        <w:pStyle w:val="21"/>
        <w:numPr>
          <w:ilvl w:val="0"/>
          <w:numId w:val="2"/>
        </w:numPr>
        <w:tabs>
          <w:tab w:val="left" w:pos="0"/>
        </w:tabs>
        <w:ind w:left="709" w:hanging="283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</w:rPr>
        <w:t>Caracteres organolépticos (color, olor, sabor)</w:t>
      </w:r>
      <w:r>
        <w:rPr>
          <w:rFonts w:ascii="Arial" w:hAnsi="Arial" w:cs="Arial"/>
          <w:bCs/>
          <w:sz w:val="22"/>
          <w:szCs w:val="22"/>
          <w:lang w:val="es-AR"/>
        </w:rPr>
        <w:t xml:space="preserve">. En algunos casos son específicos de determinadas drogas. (Ej: corteza de canela con olor, sabor y color </w:t>
      </w:r>
      <w:r>
        <w:rPr>
          <w:rFonts w:ascii="Arial" w:hAnsi="Arial" w:cs="Arial"/>
          <w:bCs/>
          <w:i/>
          <w:iCs/>
          <w:sz w:val="22"/>
          <w:szCs w:val="22"/>
          <w:lang w:val="es-AR"/>
        </w:rPr>
        <w:t xml:space="preserve">sui 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lang w:val="es-AR"/>
        </w:rPr>
        <w:t>generis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 = “canela”; raíz de regalíz con sabor dulce; raíz de genciana intensamente amarga). Pueden servir para detectar una mala conservación (colores blanquecinos por mohos, olores desagradables por fermentaciones).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Características de las superficies externa e interna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Tipo de fractura</w:t>
      </w:r>
    </w:p>
    <w:p>
      <w:pPr>
        <w:ind w:left="426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>Debido a que estas características son subjetivas y a que los adulterantes pueden ser muy similares al material genuino, a menudo, es necesario avalar estos resultados mediante análisis microscópicos o físico-químicos.</w:t>
      </w:r>
    </w:p>
    <w:p>
      <w:pPr>
        <w:pStyle w:val="21"/>
        <w:tabs>
          <w:tab w:val="left" w:pos="0"/>
        </w:tabs>
        <w:ind w:left="426"/>
        <w:jc w:val="both"/>
        <w:rPr>
          <w:rFonts w:ascii="Arial" w:hAnsi="Arial" w:cs="Arial"/>
          <w:bCs/>
          <w:sz w:val="22"/>
          <w:szCs w:val="22"/>
          <w:lang w:val="es-AR"/>
        </w:rPr>
      </w:pPr>
    </w:p>
    <w:p>
      <w:pPr>
        <w:pStyle w:val="21"/>
        <w:numPr>
          <w:ilvl w:val="0"/>
          <w:numId w:val="3"/>
        </w:numPr>
        <w:tabs>
          <w:tab w:val="left" w:pos="0"/>
        </w:tabs>
        <w:ind w:hanging="11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Determinación de materia extraña</w:t>
      </w:r>
    </w:p>
    <w:p>
      <w:pPr>
        <w:pStyle w:val="21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material a analizar se extiende  sobre una hoja de papel blanco. Se procede a su observación a ojo desnudo y bajo lupa.</w:t>
      </w:r>
    </w:p>
    <w:p>
      <w:pPr>
        <w:pStyle w:val="21"/>
        <w:tabs>
          <w:tab w:val="left" w:pos="0"/>
        </w:tabs>
        <w:ind w:firstLine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informará: </w:t>
      </w:r>
    </w:p>
    <w:p>
      <w:pPr>
        <w:pStyle w:val="21"/>
        <w:numPr>
          <w:ilvl w:val="0"/>
          <w:numId w:val="4"/>
        </w:numPr>
        <w:tabs>
          <w:tab w:val="left" w:pos="0"/>
        </w:tabs>
        <w:ind w:hanging="29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aspecto general de la muestra (si se trata de una sola especie vegetal, se tratará de determinar si la muestra resulta homogénea o no. En caso de no resultar homogénea, se procede como se indica en RESOLUCIÓN DE MEZCLAS. Luego se verificará si se trata de una contaminación o  de una adulteración del producto);</w:t>
      </w:r>
    </w:p>
    <w:p>
      <w:pPr>
        <w:pStyle w:val="21"/>
        <w:numPr>
          <w:ilvl w:val="0"/>
          <w:numId w:val="4"/>
        </w:numPr>
        <w:tabs>
          <w:tab w:val="left" w:pos="0"/>
        </w:tabs>
        <w:ind w:hanging="29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aparecen huevos o larvas de insectos;</w:t>
      </w:r>
    </w:p>
    <w:p>
      <w:pPr>
        <w:pStyle w:val="21"/>
        <w:numPr>
          <w:ilvl w:val="0"/>
          <w:numId w:val="4"/>
        </w:numPr>
        <w:tabs>
          <w:tab w:val="left" w:pos="0"/>
        </w:tabs>
        <w:ind w:hanging="29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aparecen insectos vivos o muertos y si están o no relacionados con el cultivo de la especie vegetal;</w:t>
      </w:r>
    </w:p>
    <w:p>
      <w:pPr>
        <w:pStyle w:val="21"/>
        <w:numPr>
          <w:ilvl w:val="0"/>
          <w:numId w:val="4"/>
        </w:numPr>
        <w:tabs>
          <w:tab w:val="left" w:pos="0"/>
        </w:tabs>
        <w:ind w:hanging="29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aparecen arena, guijarros o tierra;</w:t>
      </w:r>
    </w:p>
    <w:p>
      <w:pPr>
        <w:pStyle w:val="21"/>
        <w:numPr>
          <w:ilvl w:val="0"/>
          <w:numId w:val="4"/>
        </w:numPr>
        <w:tabs>
          <w:tab w:val="left" w:pos="0"/>
        </w:tabs>
        <w:ind w:hanging="29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aparecen excrementos de roedores o de otros animales;</w:t>
      </w:r>
    </w:p>
    <w:p>
      <w:pPr>
        <w:pStyle w:val="21"/>
        <w:numPr>
          <w:ilvl w:val="0"/>
          <w:numId w:val="4"/>
        </w:numPr>
        <w:tabs>
          <w:tab w:val="left" w:pos="0"/>
        </w:tabs>
        <w:ind w:hanging="29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aparecen pelos o plumas;</w:t>
      </w:r>
    </w:p>
    <w:p>
      <w:pPr>
        <w:pStyle w:val="21"/>
        <w:numPr>
          <w:ilvl w:val="0"/>
          <w:numId w:val="5"/>
        </w:numPr>
        <w:tabs>
          <w:tab w:val="left" w:pos="0"/>
        </w:tabs>
        <w:ind w:hanging="29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 aparece cualquier otro tipo de material extraño a la especie o especies vegetales que constituyen el producto a analizar.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pStyle w:val="21"/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Análisis microscópico</w:t>
      </w: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Una vez que el material vegetal ha sido examinado y clasificado de acuerdo a sus características macroscópicas, el paso siguiente es la evaluación microscópica. </w:t>
      </w:r>
    </w:p>
    <w:p>
      <w:pPr>
        <w:pStyle w:val="21"/>
        <w:tabs>
          <w:tab w:val="left" w:pos="0"/>
        </w:tabs>
        <w:ind w:firstLine="567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 xml:space="preserve">La </w:t>
      </w:r>
      <w:r>
        <w:rPr>
          <w:rFonts w:ascii="Arial" w:hAnsi="Arial" w:cs="Arial"/>
          <w:b/>
          <w:bCs/>
          <w:sz w:val="22"/>
          <w:szCs w:val="22"/>
          <w:lang w:val="es-AR"/>
        </w:rPr>
        <w:t xml:space="preserve">micrografía de una droga </w:t>
      </w:r>
      <w:r>
        <w:rPr>
          <w:rFonts w:ascii="Arial" w:hAnsi="Arial" w:cs="Arial"/>
          <w:bCs/>
          <w:sz w:val="22"/>
          <w:szCs w:val="22"/>
          <w:lang w:val="es-AR"/>
        </w:rPr>
        <w:t xml:space="preserve">consiste en observar al microscopio los </w:t>
      </w:r>
      <w:r>
        <w:rPr>
          <w:rFonts w:ascii="Arial" w:hAnsi="Arial" w:cs="Arial"/>
          <w:b/>
          <w:bCs/>
          <w:sz w:val="22"/>
          <w:szCs w:val="22"/>
          <w:lang w:val="es-AR"/>
        </w:rPr>
        <w:t>contenidos celulares y los elementos celulares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AR"/>
        </w:rPr>
        <w:t>de valor diagnóstico</w:t>
      </w:r>
      <w:r>
        <w:rPr>
          <w:rFonts w:ascii="Arial" w:hAnsi="Arial" w:cs="Arial"/>
          <w:bCs/>
          <w:sz w:val="22"/>
          <w:szCs w:val="22"/>
          <w:lang w:val="es-AR"/>
        </w:rPr>
        <w:t xml:space="preserve"> que son característicos de una droga y que sirven para su </w:t>
      </w:r>
      <w:r>
        <w:rPr>
          <w:rFonts w:ascii="Arial" w:hAnsi="Arial" w:cs="Arial"/>
          <w:b/>
          <w:bCs/>
          <w:sz w:val="22"/>
          <w:szCs w:val="22"/>
          <w:lang w:val="es-AR"/>
        </w:rPr>
        <w:t>identificación</w:t>
      </w:r>
      <w:r>
        <w:rPr>
          <w:rFonts w:ascii="Arial" w:hAnsi="Arial" w:cs="Arial"/>
          <w:bCs/>
          <w:sz w:val="22"/>
          <w:szCs w:val="22"/>
          <w:lang w:val="es-AR"/>
        </w:rPr>
        <w:t>.</w:t>
      </w:r>
    </w:p>
    <w:p>
      <w:pPr>
        <w:pStyle w:val="21"/>
        <w:tabs>
          <w:tab w:val="left" w:pos="0"/>
        </w:tabs>
        <w:ind w:firstLine="567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>Las técnicas utilizadas en micrografía que a continuación se enumeran se encuentran detalladas para su consulta en el complemento teórico de Microtécnicas Botánicas.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Raspado, reducción a polvo</w:t>
      </w: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Disociaciones (leves o fuertes)</w:t>
      </w: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Técnica de Metcalfe para obtención de epidermis foliar</w:t>
      </w: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Corte y coloraciones</w:t>
      </w: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Diafanizados (para la determinación de índices)</w:t>
      </w:r>
    </w:p>
    <w:p>
      <w:pPr>
        <w:pStyle w:val="21"/>
        <w:numPr>
          <w:ilvl w:val="0"/>
          <w:numId w:val="0"/>
        </w:numPr>
        <w:tabs>
          <w:tab w:val="left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21"/>
        <w:numPr>
          <w:ilvl w:val="0"/>
          <w:numId w:val="0"/>
        </w:numPr>
        <w:tabs>
          <w:tab w:val="left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21"/>
        <w:numPr>
          <w:ilvl w:val="0"/>
          <w:numId w:val="0"/>
        </w:numPr>
        <w:tabs>
          <w:tab w:val="left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21"/>
        <w:numPr>
          <w:ilvl w:val="0"/>
          <w:numId w:val="0"/>
        </w:numPr>
        <w:tabs>
          <w:tab w:val="left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Reacciones histoquímicas: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Detección histoquímica de paredes: celulósicas, lignificadas, suberificadas, cutinizadas.</w:t>
      </w:r>
    </w:p>
    <w:p>
      <w:pPr>
        <w:pStyle w:val="21"/>
        <w:numPr>
          <w:ilvl w:val="0"/>
          <w:numId w:val="2"/>
        </w:numPr>
        <w:tabs>
          <w:tab w:val="left" w:pos="0"/>
        </w:tabs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Detección histoquímica de contenidos celulares: aleuronas, cristales, grasas, aceites volátiles, resinas, grupos químicos, mucílagos, almidón.</w:t>
      </w:r>
    </w:p>
    <w:p>
      <w:pPr>
        <w:pStyle w:val="21"/>
        <w:numPr>
          <w:ilvl w:val="0"/>
          <w:numId w:val="6"/>
        </w:numPr>
        <w:tabs>
          <w:tab w:val="left" w:pos="0"/>
        </w:tabs>
        <w:ind w:hanging="11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Determinación de índices (aplicables todos al análisis de hojas):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índice de empalizada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índice de estomas</w:t>
      </w:r>
    </w:p>
    <w:p>
      <w:pPr>
        <w:pStyle w:val="21"/>
        <w:numPr>
          <w:ilvl w:val="0"/>
          <w:numId w:val="2"/>
        </w:numPr>
        <w:tabs>
          <w:tab w:val="left" w:pos="0"/>
        </w:tabs>
        <w:ind w:firstLine="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índice de islotes venosos </w:t>
      </w:r>
    </w:p>
    <w:p>
      <w:pPr>
        <w:pStyle w:val="21"/>
        <w:tabs>
          <w:tab w:val="left" w:pos="0"/>
        </w:tabs>
        <w:jc w:val="both"/>
        <w:rPr>
          <w:rFonts w:ascii="Arial" w:hAnsi="Arial" w:cs="Arial"/>
          <w:sz w:val="22"/>
        </w:rPr>
      </w:pP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Los elementos histológicos que pueden encontrarse en la droga en estudio dependen del vegetal y de la parte de éste utilizada en su elaboración.</w:t>
      </w: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  <w:lang w:val="es-AR"/>
        </w:rPr>
        <w:t>Las técnicas se deben adecuar al material que se está analizando y a la forma de presentación.</w:t>
      </w:r>
    </w:p>
    <w:p>
      <w:pPr>
        <w:pStyle w:val="21"/>
        <w:tabs>
          <w:tab w:val="left" w:pos="0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CONTROL DE CALIDAD DE RAICES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Raspado o reducción a polvo: observación de almidones. Reacción para inulina. Observación de elementos conductores.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Disociado leve: Observación de súber o de tejidos epidérmicos, elementos fibrovasculares, parénquima. Pueden aparecer esclereidas y laticíferos.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Corte y coloración: Disposición de todos los tejidos.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CONTROL DE CALIDAD DE TALLOS ENTEROS, DE CORTEZAS Y DE LEÑOS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Tallos subterráneos: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Raspado o reducción a polvo: Observación de almidones. Reacción para inulina.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Corte y coloración: Disposición de todos los tejidos.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Tallos aéreos: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Reducción a polvo: Observación de almidones.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Disociación leve: Observación de epidermis, células cristalíferas, fibras aisladas y esclereidas aisladas o en cúmulos.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Corte y coloración: Disposición de todos los tejidos.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Cortezas comerciales: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Reducción a polvo: Observación de almidones.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Disociación leve: Observación de súber, fibras aisladas, radios floemáticos, células cristalíferas,  esclereidas aisladas o en cúmulos. Puede o no aparecer cristales y esclereidas. No se deben encontrar elementos xilemáticos.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Corte y coloración: Disposición de los tejidos.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Leños: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Reducción a polvo: Observación de almidones y de cristales.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Disociación fuerte: Observación de tipos de unidades de vaso, fibras, traqueidas, células parenquimatosas.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 xml:space="preserve"> Corte y coloración: Disposición de los tejidos.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CONTROL DE CALIDAD DE HOJAS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sz w:val="22"/>
          <w:lang w:val="es-AR"/>
        </w:rPr>
        <w:t xml:space="preserve">Disociación leve: epidermis con estomas, parénquima clorofílico, cristales en el parénquima o sueltos, esclereidas, pelos, fibras. Se observan las nervaduras enteras. Si la hoja viene en polvo se realiza reacción con lugol, da reacción negativa debido a que </w:t>
      </w:r>
      <w:r>
        <w:rPr>
          <w:rFonts w:ascii="Arial" w:hAnsi="Arial"/>
          <w:b/>
          <w:sz w:val="22"/>
          <w:lang w:val="es-AR"/>
        </w:rPr>
        <w:t>las hojas y flores no acumulan almidón de reserva.</w:t>
      </w:r>
    </w:p>
    <w:p>
      <w:pPr>
        <w:numPr>
          <w:ilvl w:val="0"/>
          <w:numId w:val="7"/>
        </w:num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Corte y coloración: disposición de todos los tejidos.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INTRODUCCIÓN A LA RESOLUCION DE MUESTRAS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En el comercio existen un gran número de productos elaborados en base a mezclas de hierbas. En estos casos, previamente a realizar el estudio farmacobotánico de cada componente para asegurar su autenticidad es necesario implementar un método que permita determinar cuántas especies vegetales están presentes en el producto.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Los pasos a seguir son los siguientes: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1. Homogenización de la muestra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La muestra debe ser homogénea y representativa de la totalidad del producto. Se debe tener la seguridad de que todos los componentes están presentes en ella.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La masa de muestra a analizar dependerá de su aspecto general. Lo más usual es que se analicen 5 g de la mezcla, pero esta cantidad puede ser menor.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2. Separación de los componentes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Generalmente se recurre al empleo de una lupa binocular. Con ayuda de una pinza de puntas finas y de agujas histológicas, se procede a separar aquellos trozos que muestren un aspecto exomorfológico similar (similar coloración, similar textura, etc.).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2.a Procedimientos alternativos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Se pueden emplear otros métodos para la separación de los componentes.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 xml:space="preserve">Tamizado: </w:t>
      </w:r>
      <w:r>
        <w:rPr>
          <w:rFonts w:ascii="Arial" w:hAnsi="Arial"/>
          <w:sz w:val="22"/>
          <w:lang w:val="es-AR"/>
        </w:rPr>
        <w:t>si la granulometría lo permite, se pueden aislar uno o más componentes utilizando diferentes tamices;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Flotabilidad</w:t>
      </w:r>
      <w:r>
        <w:rPr>
          <w:rFonts w:ascii="Arial" w:hAnsi="Arial"/>
          <w:sz w:val="22"/>
          <w:lang w:val="es-AR"/>
        </w:rPr>
        <w:t>: si existen diferencias de densidad entre los componentes, se puede emplear un líquido apropiado que permita su separación. Antes de proceder al análisis micrográfico, el material debe estar seco nuevamente.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3. Análisis micrográfico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Una vez separados los componentes constitutivos de la mezcla, se procede a su análisis siguiendo las metodologías anteriormente explicadas. Lo más común es que se recurra al empleo de disociaciones leves y a la realización de reacciones histoquímicas para determinar almidones y lípidos.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4. Comparación con materiales de referencia o con bibliografía autorizada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Todo análisis debe concluir con una comparación de los resultados obtenidos del análisis micrográfico con materiales de referencia o con bibliografía autorizada, tales como farmacopeas o publicaciones en revistas científicas de renombre.</w:t>
      </w:r>
    </w:p>
    <w:p>
      <w:pPr>
        <w:tabs>
          <w:tab w:val="left" w:pos="6768"/>
        </w:tabs>
        <w:suppressAutoHyphens/>
        <w:ind w:firstLine="567"/>
        <w:jc w:val="both"/>
        <w:rPr>
          <w:rFonts w:ascii="Arial" w:hAnsi="Arial"/>
          <w:sz w:val="22"/>
          <w:lang w:val="es-AR"/>
        </w:rPr>
      </w:pPr>
      <w:r>
        <w:rPr>
          <w:rFonts w:ascii="Arial" w:hAnsi="Arial"/>
          <w:sz w:val="22"/>
          <w:lang w:val="es-AR"/>
        </w:rPr>
        <w:t>En cuanto a los materiales de referencia, se los puede confeccionar en base a muestras recibidas anteriormente y que estén debidamente autenticadas.</w:t>
      </w: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b/>
          <w:sz w:val="22"/>
          <w:lang w:val="es-AR"/>
        </w:rPr>
      </w:pPr>
    </w:p>
    <w:p>
      <w:pPr>
        <w:ind w:left="0" w:leftChars="0" w:firstLine="0" w:firstLineChars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BIBLIOGRAFIA:</w:t>
      </w:r>
    </w:p>
    <w:p>
      <w:pPr>
        <w:ind w:hanging="284"/>
        <w:jc w:val="both"/>
        <w:rPr>
          <w:rFonts w:ascii="Arial" w:hAnsi="Arial"/>
          <w:b/>
          <w:sz w:val="22"/>
        </w:rPr>
      </w:pPr>
    </w:p>
    <w:p>
      <w:pPr>
        <w:pStyle w:val="20"/>
        <w:spacing w:before="0" w:after="0"/>
        <w:ind w:left="0" w:leftChars="0" w:firstLine="0" w:firstLineChars="0"/>
      </w:pPr>
      <w:r>
        <w:rPr>
          <w:lang w:val="es-AR"/>
        </w:rPr>
        <w:t>-</w:t>
      </w:r>
      <w:r>
        <w:rPr>
          <w:rFonts w:hint="default"/>
          <w:lang w:val="es-AR"/>
        </w:rPr>
        <w:t xml:space="preserve"> </w:t>
      </w:r>
      <w:r>
        <w:rPr>
          <w:lang w:val="es-AR"/>
        </w:rPr>
        <w:t xml:space="preserve">Gattuso, M. y J. Gattuso. 1999. </w:t>
      </w:r>
      <w:r>
        <w:t>Manual</w:t>
      </w:r>
      <w:r>
        <w:rPr>
          <w:rFonts w:hint="default"/>
          <w:lang w:val="es-AR"/>
        </w:rPr>
        <w:t xml:space="preserve"> </w:t>
      </w:r>
      <w:r>
        <w:t>de Procedimientos para el análisis de Drogas en Polvo .U.N.R.</w:t>
      </w:r>
    </w:p>
    <w:p>
      <w:pPr>
        <w:tabs>
          <w:tab w:val="left" w:pos="720"/>
          <w:tab w:val="left" w:pos="1872"/>
        </w:tabs>
        <w:ind w:left="0" w:leftChars="0" w:firstLine="0" w:firstLineChars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Guía de Trabajos Prácticos de Farmacobotánica. UBA 2001</w:t>
      </w:r>
    </w:p>
    <w:p>
      <w:pPr>
        <w:ind w:left="0" w:leftChars="0" w:firstLine="0" w:firstLineChars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Instituto Argentino de Racionalización de Materiales. </w:t>
      </w:r>
      <w:r>
        <w:rPr>
          <w:rFonts w:ascii="Arial" w:hAnsi="Arial"/>
          <w:sz w:val="22"/>
          <w:lang w:val="en-US"/>
        </w:rPr>
        <w:t>Normas IRAM Nº 37500, 37501, 37507, 37508</w:t>
      </w:r>
    </w:p>
    <w:p>
      <w:pPr>
        <w:ind w:left="0" w:leftChars="0" w:firstLine="0" w:firstLineChars="0"/>
        <w:rPr>
          <w:rFonts w:ascii="Arial" w:hAnsi="Arial"/>
          <w:sz w:val="22"/>
        </w:rPr>
      </w:pPr>
      <w:r>
        <w:t xml:space="preserve"> - </w:t>
      </w:r>
      <w:r>
        <w:rPr>
          <w:rFonts w:ascii="Arial" w:hAnsi="Arial"/>
          <w:sz w:val="22"/>
        </w:rPr>
        <w:t>Zarlavsky, G. E. 2014. Histología Vegetal. Técnicas simples y complejas. Sociedad Argentina de Botánica. Buenos Aires.</w:t>
      </w:r>
    </w:p>
    <w:p>
      <w:pPr>
        <w:ind w:hanging="357"/>
        <w:rPr>
          <w:rFonts w:ascii="Arial" w:hAnsi="Arial"/>
          <w:sz w:val="22"/>
        </w:rPr>
      </w:pPr>
    </w:p>
    <w:p>
      <w:pPr>
        <w:spacing w:line="240" w:lineRule="exact"/>
        <w:ind w:hanging="357"/>
        <w:rPr>
          <w:rFonts w:ascii="Arial" w:hAnsi="Arial"/>
          <w:sz w:val="22"/>
        </w:rPr>
      </w:pPr>
    </w:p>
    <w:p>
      <w:pPr>
        <w:tabs>
          <w:tab w:val="left" w:pos="6768"/>
        </w:tabs>
        <w:suppressAutoHyphens/>
        <w:jc w:val="both"/>
        <w:rPr>
          <w:rFonts w:ascii="Arial" w:hAnsi="Arial"/>
          <w:sz w:val="32"/>
          <w:szCs w:val="32"/>
          <w:lang w:val="es-AR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134" w:right="851" w:bottom="1134" w:left="1418" w:header="1021" w:footer="102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7</w:t>
    </w:r>
    <w:r>
      <w:fldChar w:fldCharType="end"/>
    </w:r>
  </w:p>
  <w:p>
    <w:pPr>
      <w:pStyle w:val="18"/>
      <w:rPr>
        <w:rFonts w:ascii="Arial" w:hAnsi="Arial"/>
        <w:i/>
        <w:sz w:val="20"/>
      </w:rPr>
    </w:pPr>
    <w:r>
      <w:rPr>
        <w:rFonts w:ascii="Arial" w:hAnsi="Arial"/>
        <w:i/>
        <w:sz w:val="20"/>
      </w:rPr>
      <w:t>FARMACOBOTÁNICA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single" w:color="auto" w:sz="12" w:space="1"/>
      </w:pBdr>
      <w:jc w:val="center"/>
      <w:rPr>
        <w:rFonts w:ascii="Arial" w:hAnsi="Arial"/>
        <w:b/>
      </w:rPr>
    </w:pPr>
    <w:r>
      <w:rPr>
        <w:sz w:val="20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-428625</wp:posOffset>
          </wp:positionH>
          <wp:positionV relativeFrom="paragraph">
            <wp:posOffset>-292735</wp:posOffset>
          </wp:positionV>
          <wp:extent cx="657225" cy="809625"/>
          <wp:effectExtent l="0" t="0" r="13335" b="13335"/>
          <wp:wrapTight wrapText="bothSides">
            <wp:wrapPolygon>
              <wp:start x="-313" y="0"/>
              <wp:lineTo x="-313" y="21346"/>
              <wp:lineTo x="21600" y="21346"/>
              <wp:lineTo x="21600" y="0"/>
              <wp:lineTo x="-313" y="0"/>
            </wp:wrapPolygon>
          </wp:wrapTight>
          <wp:docPr id="1" name="Imagen 1" descr="escudito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scudito_gr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</w:rPr>
      <w:t>CÁTEDRA FARMACOBOTÁNICA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67E55"/>
    <w:multiLevelType w:val="multilevel"/>
    <w:tmpl w:val="04F67E55"/>
    <w:lvl w:ilvl="0" w:tentative="0">
      <w:start w:val="1"/>
      <w:numFmt w:val="bullet"/>
      <w:lvlText w:val=""/>
      <w:lvlJc w:val="left"/>
      <w:pPr>
        <w:tabs>
          <w:tab w:val="left" w:pos="227"/>
        </w:tabs>
        <w:ind w:left="397" w:hanging="397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E4362CD"/>
    <w:multiLevelType w:val="multilevel"/>
    <w:tmpl w:val="0E4362CD"/>
    <w:lvl w:ilvl="0" w:tentative="0">
      <w:start w:val="1"/>
      <w:numFmt w:val="bullet"/>
      <w:lvlText w:val=""/>
      <w:lvlJc w:val="left"/>
      <w:pPr>
        <w:tabs>
          <w:tab w:val="left" w:pos="227"/>
        </w:tabs>
        <w:ind w:left="397" w:hanging="397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5A0BDC"/>
    <w:multiLevelType w:val="multilevel"/>
    <w:tmpl w:val="345A0BDC"/>
    <w:lvl w:ilvl="0" w:tentative="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5A74"/>
    <w:multiLevelType w:val="multilevel"/>
    <w:tmpl w:val="48E65A74"/>
    <w:lvl w:ilvl="0" w:tentative="0">
      <w:start w:val="1"/>
      <w:numFmt w:val="bullet"/>
      <w:lvlText w:val=""/>
      <w:lvlJc w:val="left"/>
      <w:pPr>
        <w:tabs>
          <w:tab w:val="left" w:pos="227"/>
        </w:tabs>
        <w:ind w:left="397" w:hanging="397"/>
      </w:pPr>
      <w:rPr>
        <w:rFonts w:hint="default" w:ascii="Symbol" w:hAnsi="Symbol"/>
      </w:rPr>
    </w:lvl>
    <w:lvl w:ilvl="1" w:tentative="0">
      <w:start w:val="1"/>
      <w:numFmt w:val="bullet"/>
      <w:lvlText w:val="-"/>
      <w:lvlJc w:val="left"/>
      <w:pPr>
        <w:tabs>
          <w:tab w:val="left" w:pos="1307"/>
        </w:tabs>
        <w:ind w:left="1477" w:hanging="397"/>
      </w:pPr>
      <w:rPr>
        <w:rFonts w:hint="default" w:ascii="Arial" w:hAnsi="Arial"/>
        <w:color w:val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81744E1"/>
    <w:multiLevelType w:val="multilevel"/>
    <w:tmpl w:val="581744E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02810"/>
    <w:multiLevelType w:val="multilevel"/>
    <w:tmpl w:val="5C602810"/>
    <w:lvl w:ilvl="0" w:tentative="0">
      <w:start w:val="1"/>
      <w:numFmt w:val="bullet"/>
      <w:lvlText w:val="-"/>
      <w:lvlJc w:val="left"/>
      <w:pPr>
        <w:tabs>
          <w:tab w:val="left" w:pos="227"/>
        </w:tabs>
        <w:ind w:left="397" w:hanging="397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D74435E"/>
    <w:multiLevelType w:val="multilevel"/>
    <w:tmpl w:val="6D74435E"/>
    <w:lvl w:ilvl="0" w:tentative="0">
      <w:start w:val="1"/>
      <w:numFmt w:val="bullet"/>
      <w:lvlText w:val=""/>
      <w:lvlJc w:val="left"/>
      <w:pPr>
        <w:tabs>
          <w:tab w:val="left" w:pos="227"/>
        </w:tabs>
        <w:ind w:left="397" w:hanging="397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autoHyphenation/>
  <w:hyphenationZone w:val="142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8"/>
    <w:rsid w:val="00010D81"/>
    <w:rsid w:val="00015F64"/>
    <w:rsid w:val="00040387"/>
    <w:rsid w:val="000476D2"/>
    <w:rsid w:val="0008005E"/>
    <w:rsid w:val="00085C9E"/>
    <w:rsid w:val="00095559"/>
    <w:rsid w:val="00095AD5"/>
    <w:rsid w:val="000B3845"/>
    <w:rsid w:val="000B66E4"/>
    <w:rsid w:val="000D3909"/>
    <w:rsid w:val="000F0737"/>
    <w:rsid w:val="000F1494"/>
    <w:rsid w:val="000F2AA1"/>
    <w:rsid w:val="001213D6"/>
    <w:rsid w:val="00121DD0"/>
    <w:rsid w:val="00141ABB"/>
    <w:rsid w:val="001470C7"/>
    <w:rsid w:val="001622DA"/>
    <w:rsid w:val="00180B88"/>
    <w:rsid w:val="001A1F6D"/>
    <w:rsid w:val="001C00AC"/>
    <w:rsid w:val="001C6E4E"/>
    <w:rsid w:val="001E1863"/>
    <w:rsid w:val="001E265D"/>
    <w:rsid w:val="001F2706"/>
    <w:rsid w:val="001F495E"/>
    <w:rsid w:val="00201338"/>
    <w:rsid w:val="00213E85"/>
    <w:rsid w:val="00231EB8"/>
    <w:rsid w:val="0023540E"/>
    <w:rsid w:val="00257263"/>
    <w:rsid w:val="002724D5"/>
    <w:rsid w:val="00280248"/>
    <w:rsid w:val="0029012E"/>
    <w:rsid w:val="002A4988"/>
    <w:rsid w:val="002D32FF"/>
    <w:rsid w:val="002D3B69"/>
    <w:rsid w:val="002E2E88"/>
    <w:rsid w:val="002F3381"/>
    <w:rsid w:val="002F49E4"/>
    <w:rsid w:val="00314CBD"/>
    <w:rsid w:val="00326B49"/>
    <w:rsid w:val="00331267"/>
    <w:rsid w:val="00341A41"/>
    <w:rsid w:val="00362A63"/>
    <w:rsid w:val="00373B9A"/>
    <w:rsid w:val="00385928"/>
    <w:rsid w:val="00391ED7"/>
    <w:rsid w:val="003A4F00"/>
    <w:rsid w:val="003E08BE"/>
    <w:rsid w:val="003E242B"/>
    <w:rsid w:val="003F6E7D"/>
    <w:rsid w:val="004155EF"/>
    <w:rsid w:val="00427546"/>
    <w:rsid w:val="00434B9B"/>
    <w:rsid w:val="0049476F"/>
    <w:rsid w:val="004B4D90"/>
    <w:rsid w:val="004C682E"/>
    <w:rsid w:val="004D1473"/>
    <w:rsid w:val="004D1D00"/>
    <w:rsid w:val="004E3375"/>
    <w:rsid w:val="004F1E3E"/>
    <w:rsid w:val="0050141B"/>
    <w:rsid w:val="00515829"/>
    <w:rsid w:val="00527B17"/>
    <w:rsid w:val="005331F2"/>
    <w:rsid w:val="00545299"/>
    <w:rsid w:val="0054555E"/>
    <w:rsid w:val="00560861"/>
    <w:rsid w:val="00561561"/>
    <w:rsid w:val="00565DA5"/>
    <w:rsid w:val="00580F63"/>
    <w:rsid w:val="00586EA5"/>
    <w:rsid w:val="005931FE"/>
    <w:rsid w:val="005A2196"/>
    <w:rsid w:val="005B44DB"/>
    <w:rsid w:val="005C4908"/>
    <w:rsid w:val="005D298C"/>
    <w:rsid w:val="005F1CC5"/>
    <w:rsid w:val="00614E38"/>
    <w:rsid w:val="0062371D"/>
    <w:rsid w:val="00624159"/>
    <w:rsid w:val="006475B7"/>
    <w:rsid w:val="006525B5"/>
    <w:rsid w:val="00667491"/>
    <w:rsid w:val="006756D0"/>
    <w:rsid w:val="00683538"/>
    <w:rsid w:val="00697CB7"/>
    <w:rsid w:val="006A3B14"/>
    <w:rsid w:val="006B1285"/>
    <w:rsid w:val="006B4E47"/>
    <w:rsid w:val="006B62E7"/>
    <w:rsid w:val="006B6647"/>
    <w:rsid w:val="006C0094"/>
    <w:rsid w:val="006C4218"/>
    <w:rsid w:val="006D18CF"/>
    <w:rsid w:val="006D7433"/>
    <w:rsid w:val="006E04BD"/>
    <w:rsid w:val="0070010F"/>
    <w:rsid w:val="00700986"/>
    <w:rsid w:val="00704821"/>
    <w:rsid w:val="00710B4C"/>
    <w:rsid w:val="007116D1"/>
    <w:rsid w:val="007303A8"/>
    <w:rsid w:val="00734877"/>
    <w:rsid w:val="00735483"/>
    <w:rsid w:val="00736987"/>
    <w:rsid w:val="0073749A"/>
    <w:rsid w:val="00737AA4"/>
    <w:rsid w:val="00761B42"/>
    <w:rsid w:val="0076365A"/>
    <w:rsid w:val="00775E20"/>
    <w:rsid w:val="007A56BA"/>
    <w:rsid w:val="007B3481"/>
    <w:rsid w:val="007C4B96"/>
    <w:rsid w:val="007D182F"/>
    <w:rsid w:val="007D4377"/>
    <w:rsid w:val="008044C4"/>
    <w:rsid w:val="0081687F"/>
    <w:rsid w:val="008326B3"/>
    <w:rsid w:val="00841853"/>
    <w:rsid w:val="00850E5F"/>
    <w:rsid w:val="008800C2"/>
    <w:rsid w:val="008A3671"/>
    <w:rsid w:val="008A6665"/>
    <w:rsid w:val="008A7463"/>
    <w:rsid w:val="008D27DC"/>
    <w:rsid w:val="008D34EA"/>
    <w:rsid w:val="008D781D"/>
    <w:rsid w:val="008E6870"/>
    <w:rsid w:val="008F07C1"/>
    <w:rsid w:val="008F2086"/>
    <w:rsid w:val="008F559C"/>
    <w:rsid w:val="00904053"/>
    <w:rsid w:val="0093316C"/>
    <w:rsid w:val="009406DA"/>
    <w:rsid w:val="00946486"/>
    <w:rsid w:val="00950274"/>
    <w:rsid w:val="00954F3C"/>
    <w:rsid w:val="0096365B"/>
    <w:rsid w:val="00964EAE"/>
    <w:rsid w:val="00975DBD"/>
    <w:rsid w:val="00982DCD"/>
    <w:rsid w:val="009A0FDC"/>
    <w:rsid w:val="009A2433"/>
    <w:rsid w:val="009A4B7D"/>
    <w:rsid w:val="009A5EBC"/>
    <w:rsid w:val="009A71AB"/>
    <w:rsid w:val="009B669C"/>
    <w:rsid w:val="009C134D"/>
    <w:rsid w:val="009C1EF5"/>
    <w:rsid w:val="009D0D95"/>
    <w:rsid w:val="009D17FD"/>
    <w:rsid w:val="009D48F3"/>
    <w:rsid w:val="009F7F1A"/>
    <w:rsid w:val="00A17429"/>
    <w:rsid w:val="00A219A3"/>
    <w:rsid w:val="00A30F02"/>
    <w:rsid w:val="00A4417E"/>
    <w:rsid w:val="00A45904"/>
    <w:rsid w:val="00A613E4"/>
    <w:rsid w:val="00A65C1D"/>
    <w:rsid w:val="00A7518C"/>
    <w:rsid w:val="00A82C1F"/>
    <w:rsid w:val="00AB40CC"/>
    <w:rsid w:val="00AC760B"/>
    <w:rsid w:val="00AD6CE8"/>
    <w:rsid w:val="00AF145D"/>
    <w:rsid w:val="00AF4D31"/>
    <w:rsid w:val="00AF4D3F"/>
    <w:rsid w:val="00B07B2D"/>
    <w:rsid w:val="00B140D3"/>
    <w:rsid w:val="00B16888"/>
    <w:rsid w:val="00B52932"/>
    <w:rsid w:val="00B70201"/>
    <w:rsid w:val="00B801CF"/>
    <w:rsid w:val="00B8516C"/>
    <w:rsid w:val="00B95EF3"/>
    <w:rsid w:val="00BA24FE"/>
    <w:rsid w:val="00BA6E85"/>
    <w:rsid w:val="00BB3CAC"/>
    <w:rsid w:val="00BB51F7"/>
    <w:rsid w:val="00BC134C"/>
    <w:rsid w:val="00BE1AB3"/>
    <w:rsid w:val="00BF0C0E"/>
    <w:rsid w:val="00BF3B29"/>
    <w:rsid w:val="00C037E0"/>
    <w:rsid w:val="00C05E72"/>
    <w:rsid w:val="00C16299"/>
    <w:rsid w:val="00C50323"/>
    <w:rsid w:val="00C77F04"/>
    <w:rsid w:val="00C948F7"/>
    <w:rsid w:val="00CB0C27"/>
    <w:rsid w:val="00CB529C"/>
    <w:rsid w:val="00CB6F54"/>
    <w:rsid w:val="00CB7B20"/>
    <w:rsid w:val="00CC276A"/>
    <w:rsid w:val="00CD2CF6"/>
    <w:rsid w:val="00CF2460"/>
    <w:rsid w:val="00D0436D"/>
    <w:rsid w:val="00D22495"/>
    <w:rsid w:val="00D23868"/>
    <w:rsid w:val="00D27F72"/>
    <w:rsid w:val="00D51C7E"/>
    <w:rsid w:val="00D5642B"/>
    <w:rsid w:val="00D74082"/>
    <w:rsid w:val="00D77D31"/>
    <w:rsid w:val="00D900E8"/>
    <w:rsid w:val="00D94537"/>
    <w:rsid w:val="00D95325"/>
    <w:rsid w:val="00D97B43"/>
    <w:rsid w:val="00D97F64"/>
    <w:rsid w:val="00DB4D84"/>
    <w:rsid w:val="00DB7FBE"/>
    <w:rsid w:val="00DC1CA7"/>
    <w:rsid w:val="00DD1AE0"/>
    <w:rsid w:val="00DE7D4D"/>
    <w:rsid w:val="00DF1E55"/>
    <w:rsid w:val="00E224B2"/>
    <w:rsid w:val="00E229FB"/>
    <w:rsid w:val="00E25823"/>
    <w:rsid w:val="00E3148A"/>
    <w:rsid w:val="00E333B9"/>
    <w:rsid w:val="00E33C1B"/>
    <w:rsid w:val="00E34676"/>
    <w:rsid w:val="00E366E4"/>
    <w:rsid w:val="00E44D51"/>
    <w:rsid w:val="00E45275"/>
    <w:rsid w:val="00E51B05"/>
    <w:rsid w:val="00E716C7"/>
    <w:rsid w:val="00E7338E"/>
    <w:rsid w:val="00EA4A4E"/>
    <w:rsid w:val="00EB6B1C"/>
    <w:rsid w:val="00EC1F76"/>
    <w:rsid w:val="00ED76A9"/>
    <w:rsid w:val="00EF02C4"/>
    <w:rsid w:val="00F057D1"/>
    <w:rsid w:val="00F2267B"/>
    <w:rsid w:val="00F44F27"/>
    <w:rsid w:val="00F614D9"/>
    <w:rsid w:val="00F6747C"/>
    <w:rsid w:val="00F87CDD"/>
    <w:rsid w:val="00F93CA3"/>
    <w:rsid w:val="00FB294E"/>
    <w:rsid w:val="00FC1069"/>
    <w:rsid w:val="00FC335A"/>
    <w:rsid w:val="00FC3A46"/>
    <w:rsid w:val="00FD5B44"/>
    <w:rsid w:val="00FF0966"/>
    <w:rsid w:val="1D0967F5"/>
    <w:rsid w:val="1DE476EF"/>
    <w:rsid w:val="1FD21922"/>
    <w:rsid w:val="2959239A"/>
    <w:rsid w:val="2A4B0E66"/>
    <w:rsid w:val="36800604"/>
    <w:rsid w:val="387B60BB"/>
    <w:rsid w:val="49004A55"/>
    <w:rsid w:val="4BD24B1C"/>
    <w:rsid w:val="4D872CD6"/>
    <w:rsid w:val="50D878AE"/>
    <w:rsid w:val="55797B15"/>
    <w:rsid w:val="55D05A2A"/>
    <w:rsid w:val="5A242E92"/>
    <w:rsid w:val="76E97EB5"/>
    <w:rsid w:val="77731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5">
    <w:name w:val="heading 4"/>
    <w:basedOn w:val="1"/>
    <w:next w:val="1"/>
    <w:qFormat/>
    <w:uiPriority w:val="0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keepNext/>
      <w:autoSpaceDE w:val="0"/>
      <w:autoSpaceDN w:val="0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keepNext/>
      <w:ind w:left="567" w:hanging="567"/>
      <w:jc w:val="both"/>
      <w:outlineLvl w:val="5"/>
    </w:pPr>
    <w:rPr>
      <w:rFonts w:ascii="Arial" w:hAnsi="Arial" w:cs="Arial"/>
      <w:b/>
      <w:bCs/>
      <w:sz w:val="22"/>
      <w:u w:val="single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3960"/>
      </w:tabs>
      <w:ind w:left="567" w:hanging="567"/>
      <w:jc w:val="both"/>
      <w:outlineLvl w:val="6"/>
    </w:pPr>
    <w:rPr>
      <w:rFonts w:ascii="Arial" w:hAnsi="Arial" w:cs="Arial"/>
      <w:b/>
      <w:bCs/>
      <w:sz w:val="22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rFonts w:ascii="Arial" w:hAnsi="Arial" w:cs="Arial"/>
      <w:b/>
      <w:bCs/>
      <w:sz w:val="22"/>
      <w:u w:val="single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uiPriority w:val="0"/>
    <w:rPr>
      <w:color w:val="0563C1"/>
      <w:u w:val="single"/>
    </w:rPr>
  </w:style>
  <w:style w:type="character" w:styleId="14">
    <w:name w:val="page number"/>
    <w:basedOn w:val="10"/>
    <w:uiPriority w:val="0"/>
  </w:style>
  <w:style w:type="paragraph" w:styleId="15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6">
    <w:name w:val="Body Text Indent 3"/>
    <w:basedOn w:val="1"/>
    <w:uiPriority w:val="0"/>
    <w:pPr>
      <w:suppressAutoHyphens/>
      <w:autoSpaceDE w:val="0"/>
      <w:autoSpaceDN w:val="0"/>
      <w:ind w:left="284"/>
      <w:jc w:val="both"/>
    </w:pPr>
  </w:style>
  <w:style w:type="paragraph" w:styleId="17">
    <w:name w:val="Body Text Indent"/>
    <w:basedOn w:val="1"/>
    <w:link w:val="22"/>
    <w:qFormat/>
    <w:uiPriority w:val="0"/>
    <w:pPr>
      <w:ind w:firstLine="540"/>
      <w:jc w:val="both"/>
    </w:pPr>
    <w:rPr>
      <w:rFonts w:ascii="Arial" w:hAnsi="Arial" w:cs="Arial"/>
      <w:sz w:val="22"/>
    </w:rPr>
  </w:style>
  <w:style w:type="paragraph" w:styleId="18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9">
    <w:name w:val="Body Text Indent 2"/>
    <w:basedOn w:val="1"/>
    <w:uiPriority w:val="0"/>
    <w:pPr>
      <w:ind w:left="360" w:hanging="360"/>
      <w:jc w:val="both"/>
    </w:pPr>
    <w:rPr>
      <w:rFonts w:ascii="Arial" w:hAnsi="Arial" w:cs="Arial"/>
      <w:sz w:val="22"/>
    </w:rPr>
  </w:style>
  <w:style w:type="paragraph" w:styleId="20">
    <w:name w:val="Body Text"/>
    <w:basedOn w:val="1"/>
    <w:qFormat/>
    <w:uiPriority w:val="0"/>
    <w:pPr>
      <w:spacing w:before="120" w:after="120"/>
      <w:jc w:val="both"/>
    </w:pPr>
    <w:rPr>
      <w:rFonts w:ascii="Arial" w:hAnsi="Arial" w:cs="Arial"/>
      <w:sz w:val="22"/>
    </w:rPr>
  </w:style>
  <w:style w:type="paragraph" w:styleId="21">
    <w:name w:val="Plain Text"/>
    <w:basedOn w:val="1"/>
    <w:link w:val="23"/>
    <w:uiPriority w:val="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22">
    <w:name w:val="Sangría de texto normal Car"/>
    <w:link w:val="17"/>
    <w:qFormat/>
    <w:uiPriority w:val="0"/>
    <w:rPr>
      <w:rFonts w:ascii="Arial" w:hAnsi="Arial" w:cs="Arial"/>
      <w:sz w:val="22"/>
      <w:szCs w:val="24"/>
      <w:lang w:eastAsia="es-ES"/>
    </w:rPr>
  </w:style>
  <w:style w:type="character" w:customStyle="1" w:styleId="23">
    <w:name w:val="Texto sin formato Car"/>
    <w:link w:val="21"/>
    <w:uiPriority w:val="0"/>
    <w:rPr>
      <w:rFonts w:ascii="Courier New" w:hAnsi="Courier New" w:cs="Courier New"/>
      <w:lang w:eastAsia="es-ES"/>
    </w:rPr>
  </w:style>
  <w:style w:type="paragraph" w:customStyle="1" w:styleId="24">
    <w:name w:val="Style5"/>
    <w:basedOn w:val="1"/>
    <w:next w:val="1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88"/>
      <w:szCs w:val="88"/>
      <w:lang w:val="es-AR" w:eastAsia="es-AR"/>
    </w:rPr>
  </w:style>
  <w:style w:type="paragraph" w:styleId="25">
    <w:name w:val="List Paragraph"/>
    <w:basedOn w:val="1"/>
    <w:qFormat/>
    <w:uiPriority w:val="34"/>
    <w:pPr>
      <w:ind w:left="708"/>
    </w:pPr>
  </w:style>
  <w:style w:type="paragraph" w:customStyle="1" w:styleId="26">
    <w:name w:val="Style13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56"/>
      <w:szCs w:val="56"/>
      <w:lang w:val="es-AR" w:eastAsia="es-AR"/>
    </w:rPr>
  </w:style>
  <w:style w:type="paragraph" w:customStyle="1" w:styleId="27">
    <w:name w:val="Style6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sz w:val="20"/>
      <w:szCs w:val="20"/>
      <w:lang w:val="es-AR" w:eastAsia="es-AR"/>
    </w:rPr>
  </w:style>
  <w:style w:type="paragraph" w:customStyle="1" w:styleId="28">
    <w:name w:val="Style24"/>
    <w:basedOn w:val="1"/>
    <w:next w:val="1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54"/>
      <w:szCs w:val="54"/>
      <w:lang w:val="es-AR" w:eastAsia="es-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practico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practicos</Template>
  <Company>Compujes</Company>
  <Pages>7</Pages>
  <Words>2617</Words>
  <Characters>14399</Characters>
  <Lines>119</Lines>
  <Paragraphs>33</Paragraphs>
  <TotalTime>1243</TotalTime>
  <ScaleCrop>false</ScaleCrop>
  <LinksUpToDate>false</LinksUpToDate>
  <CharactersWithSpaces>16983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2017-10-18T23:51:00Z</dcterms:created>
  <dc:creator>Carlos</dc:creator>
  <cp:lastModifiedBy>google1560140058</cp:lastModifiedBy>
  <cp:lastPrinted>2006-04-02T01:25:00Z</cp:lastPrinted>
  <dcterms:modified xsi:type="dcterms:W3CDTF">2023-10-18T15:23:13Z</dcterms:modified>
  <dc:title>UNIVERSIDAD NACIONAL DE LA PATAGONIA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8CE17ADA9AFA4BFBBB00868DA84171C6_13</vt:lpwstr>
  </property>
</Properties>
</file>